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2E1A" w14:textId="588D8B26" w:rsidR="00F4248D" w:rsidRPr="00F4248D" w:rsidRDefault="00F4248D" w:rsidP="00F4248D">
      <w:pPr>
        <w:pStyle w:val="Nagwek1"/>
      </w:pPr>
      <w:r w:rsidRPr="00F4248D">
        <w:t>Informacja o zakresie działalności Urzędu Miasta Piotrkowa Trybunalskiego</w:t>
      </w:r>
    </w:p>
    <w:p w14:paraId="7B14EE20" w14:textId="77777777" w:rsidR="00F4248D" w:rsidRDefault="00F4248D" w:rsidP="00DE2B62">
      <w:pPr>
        <w:jc w:val="both"/>
        <w:rPr>
          <w:rFonts w:ascii="Arial" w:hAnsi="Arial"/>
          <w:b/>
          <w:iCs/>
          <w:sz w:val="22"/>
        </w:rPr>
      </w:pPr>
    </w:p>
    <w:p w14:paraId="3FDE9CBB" w14:textId="77777777" w:rsidR="00EE135E" w:rsidRPr="00F4248D" w:rsidRDefault="00EE135E" w:rsidP="00EE135E">
      <w:pPr>
        <w:ind w:firstLine="708"/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bCs/>
          <w:iCs/>
          <w:sz w:val="24"/>
          <w:szCs w:val="24"/>
        </w:rPr>
        <w:t>Misją Urzędu Miasta Piotrkowa Trybunalskiego</w:t>
      </w:r>
      <w:r w:rsidRPr="00F4248D">
        <w:rPr>
          <w:rFonts w:ascii="Arial" w:hAnsi="Arial"/>
          <w:iCs/>
          <w:sz w:val="24"/>
          <w:szCs w:val="24"/>
        </w:rPr>
        <w:t xml:space="preserve"> jest wykonywanie zadań publicznych o znaczeniu lokalnym, wynikających z powszechnie obowiązujących przepisów prawa, wszechstronnego rozwoju Miasta i zadowolenia jego mieszkańców.</w:t>
      </w:r>
    </w:p>
    <w:p w14:paraId="5A2F912B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Podstawową wartość dla Urzędu i jego pracowników stanowi dobro wspólnoty samorządowej osiągane przy uwzględnieniu i poszanowaniu praw jednostki. Urząd Miasta obsługuje klientów w zakresie spraw wynikających z przepisów prawa i powierzonych zadań. Ważnym elementem działalności jest także współpraca z organizacjami pozarządowymi, radami osiedli</w:t>
      </w:r>
      <w:r>
        <w:rPr>
          <w:rFonts w:ascii="Arial" w:hAnsi="Arial"/>
          <w:iCs/>
          <w:sz w:val="24"/>
          <w:szCs w:val="24"/>
        </w:rPr>
        <w:t>, a także</w:t>
      </w:r>
      <w:r w:rsidRPr="00F4248D">
        <w:rPr>
          <w:rFonts w:ascii="Arial" w:hAnsi="Arial"/>
          <w:iCs/>
          <w:sz w:val="24"/>
          <w:szCs w:val="24"/>
        </w:rPr>
        <w:t xml:space="preserve"> organizowanie konsultacji społecznych oraz organizowanie konkursów w ramach Budżetu Obywatelskiego.</w:t>
      </w:r>
    </w:p>
    <w:p w14:paraId="6DE0F34A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Urząd stosuje skuteczne metody komunikowania się z mieszkańcami, między innymi poprzez:</w:t>
      </w:r>
    </w:p>
    <w:p w14:paraId="69E24176" w14:textId="77777777" w:rsidR="00EE135E" w:rsidRPr="00F4248D" w:rsidRDefault="00EE135E" w:rsidP="00EE135E">
      <w:pPr>
        <w:pStyle w:val="Akapitzlist"/>
        <w:numPr>
          <w:ilvl w:val="0"/>
          <w:numId w:val="2"/>
        </w:num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ułatwienia architektoniczne np. w budynkach Urzędu Miasta znajduje się podjazd o łagodnym kącie nachylenia prowadzący do wejścia z przodu urzędu przy Pasażu Rudowskiego 10 i ul. Szkolnej 28 (winda). Podjazd posiada również barierkę ułatwiającą poruszanie się osobom niepełnosprawnym. Informacja o dostępności architektonicznej czterech budynków Urzędu Miasta Piotrkowa Trybunalskiego znajduje się pod tym linkiem (</w:t>
      </w:r>
      <w:hyperlink r:id="rId5" w:history="1">
        <w:r w:rsidRPr="00F4248D">
          <w:rPr>
            <w:rStyle w:val="Hipercze"/>
            <w:rFonts w:ascii="Arial" w:hAnsi="Arial"/>
            <w:iCs/>
            <w:sz w:val="24"/>
            <w:szCs w:val="24"/>
          </w:rPr>
          <w:t>link otwiera nowe okno Word</w:t>
        </w:r>
      </w:hyperlink>
      <w:r w:rsidRPr="00F4248D">
        <w:rPr>
          <w:rFonts w:ascii="Arial" w:hAnsi="Arial"/>
          <w:iCs/>
          <w:sz w:val="24"/>
          <w:szCs w:val="24"/>
        </w:rPr>
        <w:t>).</w:t>
      </w:r>
    </w:p>
    <w:p w14:paraId="27F63525" w14:textId="110241A7" w:rsidR="00EE135E" w:rsidRPr="00EE135E" w:rsidRDefault="00EE135E" w:rsidP="00EE135E">
      <w:pPr>
        <w:pStyle w:val="Akapitzlist"/>
        <w:numPr>
          <w:ilvl w:val="0"/>
          <w:numId w:val="2"/>
        </w:numPr>
        <w:rPr>
          <w:rFonts w:ascii="Arial" w:hAnsi="Arial"/>
          <w:iCs/>
          <w:sz w:val="24"/>
          <w:szCs w:val="24"/>
        </w:rPr>
      </w:pPr>
      <w:r w:rsidRPr="00EE135E">
        <w:rPr>
          <w:rFonts w:ascii="Arial" w:hAnsi="Arial" w:cs="Arial"/>
          <w:sz w:val="24"/>
        </w:rPr>
        <w:t>udostępnienie usługi Wideotłumacza, tj. tłumacza języka migowego online, w godzinach 8.00 - 15.30. Usługa tłumaczenia realizowana jest przez certyfikowanych tłumaczy polskiego języka migowego (PJM) i systemu językowo – migowego (SJM). Wideotłumacz zainstalowano w jednym z pomieszczeń Punktu Informacyjnego na ul. Szkolnej 28 (wejście A). Lokalizacja ta zapewnia wygodę i dyskrecję klientom Urzędu, ponadto jest dostosowana dla osób poruszających się na wózkach inwalidzkich.</w:t>
      </w:r>
    </w:p>
    <w:p w14:paraId="2B6187C9" w14:textId="77777777" w:rsidR="00EE135E" w:rsidRPr="00F4248D" w:rsidRDefault="00EE135E" w:rsidP="00EE135E">
      <w:pPr>
        <w:pStyle w:val="Akapitzlist"/>
        <w:numPr>
          <w:ilvl w:val="0"/>
          <w:numId w:val="2"/>
        </w:num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strony internetowe, które są w dużym zakresie zgodne z wytycznymi ustawy z dnia 4 kwietnia 2019 r. o dostępności cyfrowej stron internetowych i aplikacji mobilnych podmiotów publicznych oraz z zaleceniami WCAG 2.1 (Web Content Accessibility Guidelines).</w:t>
      </w:r>
    </w:p>
    <w:p w14:paraId="57A2FE76" w14:textId="77777777" w:rsidR="00EE135E" w:rsidRPr="00F4248D" w:rsidRDefault="00EE135E" w:rsidP="00EE135E">
      <w:pPr>
        <w:pStyle w:val="Akapitzlist"/>
        <w:ind w:left="780"/>
        <w:rPr>
          <w:rFonts w:ascii="Arial" w:hAnsi="Arial"/>
          <w:iCs/>
          <w:sz w:val="24"/>
          <w:szCs w:val="24"/>
        </w:rPr>
      </w:pPr>
    </w:p>
    <w:p w14:paraId="2308E9E8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Urząd pracuje od poniedziałku do piątku w godz. 7.30 – 15.30, a we wtorki w godz. 7.30 – 17.00, w celu zapewnienia obsługi klientów zewnętrznych.</w:t>
      </w:r>
    </w:p>
    <w:p w14:paraId="2802387B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Stanowiska BOM obsługują klientów od poniedziałku do piątku w godzinach 8.00 – 17.00, z wyłączeniem:</w:t>
      </w:r>
    </w:p>
    <w:p w14:paraId="783DA04B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1)</w:t>
      </w:r>
      <w:r w:rsidRPr="00F4248D">
        <w:rPr>
          <w:rFonts w:ascii="Arial" w:hAnsi="Arial"/>
          <w:iCs/>
          <w:sz w:val="24"/>
          <w:szCs w:val="24"/>
        </w:rPr>
        <w:tab/>
        <w:t>punktu informacyjnego i kas zlokalizowanych w budynku Urzędu przy Pasażu Rudowskiego 10, które obsługują we wtorki w godzinach 8.00 – 17.00, a w pozostałe dni w godzinach 8.00 – 15.30,</w:t>
      </w:r>
    </w:p>
    <w:p w14:paraId="6F3B66BD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2)</w:t>
      </w:r>
      <w:r w:rsidRPr="00F4248D">
        <w:rPr>
          <w:rFonts w:ascii="Arial" w:hAnsi="Arial"/>
          <w:iCs/>
          <w:sz w:val="24"/>
          <w:szCs w:val="24"/>
        </w:rPr>
        <w:tab/>
        <w:t xml:space="preserve">punktu informacyjnego i stanowiska </w:t>
      </w:r>
      <w:r w:rsidRPr="00EE135E">
        <w:rPr>
          <w:rFonts w:ascii="Arial" w:hAnsi="Arial"/>
          <w:iCs/>
          <w:sz w:val="24"/>
          <w:szCs w:val="24"/>
        </w:rPr>
        <w:t>ds. ewidencji gruntów i budynków</w:t>
      </w:r>
      <w:r w:rsidRPr="00F4248D">
        <w:rPr>
          <w:rFonts w:ascii="Arial" w:hAnsi="Arial"/>
          <w:iCs/>
          <w:sz w:val="24"/>
          <w:szCs w:val="24"/>
        </w:rPr>
        <w:t>, zlokalizowanych                              w budynku Urzędu przy ul. Szkolnej 28 wejście A, które obsługują we wtorki w godzinach 8.00 – 17.00, a w pozostałe dni w godzinach 8.00 – 15.30,</w:t>
      </w:r>
    </w:p>
    <w:p w14:paraId="54E1467D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3)</w:t>
      </w:r>
      <w:r w:rsidRPr="00F4248D">
        <w:rPr>
          <w:rFonts w:ascii="Arial" w:hAnsi="Arial"/>
          <w:iCs/>
          <w:sz w:val="24"/>
          <w:szCs w:val="24"/>
        </w:rPr>
        <w:tab/>
        <w:t xml:space="preserve">stanowiska ds. skarg i wniosków zlokalizowanego w budynku Urzędu przy ul. Szkolnej 28 wejście B, które obsługuje we wtorki w godzinach 8.00 – 17.00, </w:t>
      </w:r>
    </w:p>
    <w:p w14:paraId="6159FD8E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a w pozostałe dni w godzinach 8.00 – 15.30.</w:t>
      </w:r>
    </w:p>
    <w:p w14:paraId="546109C0" w14:textId="77777777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lastRenderedPageBreak/>
        <w:t>3.</w:t>
      </w:r>
      <w:r w:rsidRPr="00F4248D">
        <w:rPr>
          <w:rFonts w:ascii="Arial" w:hAnsi="Arial"/>
          <w:iCs/>
          <w:sz w:val="24"/>
          <w:szCs w:val="24"/>
        </w:rPr>
        <w:tab/>
        <w:t>W soboty USC obsługuje klientów w zakresie ceremonii ślubnych oraz uroczystości jubileuszy długoletniego pożycia małżeńskiego.</w:t>
      </w:r>
    </w:p>
    <w:p w14:paraId="29BFEA6F" w14:textId="15264ADD" w:rsidR="00EE135E" w:rsidRPr="00F4248D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4.</w:t>
      </w:r>
      <w:r w:rsidRPr="00F4248D">
        <w:rPr>
          <w:rFonts w:ascii="Arial" w:hAnsi="Arial"/>
          <w:iCs/>
          <w:sz w:val="24"/>
          <w:szCs w:val="24"/>
        </w:rPr>
        <w:tab/>
        <w:t>Centrum Informacji Turystycznej obsługuje klientów w sezonie turystycznym,                             tj. w okresie od 1 maja do 30 września, od poniedziałku do soboty w godzinach 9.00 – 17.00, w niedzielę w godzinach 10.00 – 15.00. Poza sezonem turystycznym, tj. w okresie od 1 października do 30 kwietnia, od poniedziałku do piątku w godzinach 08.00 – 16.00.</w:t>
      </w:r>
    </w:p>
    <w:p w14:paraId="739D1F47" w14:textId="77777777" w:rsidR="00F4248D" w:rsidRPr="00F4248D" w:rsidRDefault="00F4248D" w:rsidP="00A06518">
      <w:pPr>
        <w:jc w:val="both"/>
        <w:rPr>
          <w:rFonts w:ascii="Arial" w:hAnsi="Arial"/>
          <w:iCs/>
          <w:sz w:val="24"/>
          <w:szCs w:val="24"/>
        </w:rPr>
      </w:pPr>
    </w:p>
    <w:p w14:paraId="06B05240" w14:textId="23808976" w:rsidR="00646A74" w:rsidRPr="00F4248D" w:rsidRDefault="00A83CEE" w:rsidP="00F4248D">
      <w:pPr>
        <w:pStyle w:val="Nagwek2"/>
      </w:pPr>
      <w:r w:rsidRPr="00A83CEE">
        <w:t>W okresie trwania pandemii wprowadzono szczególne zasady przyjmowania klientów Urzędu Miasta</w:t>
      </w:r>
      <w:r w:rsidR="00A06518" w:rsidRPr="00F4248D">
        <w:t>.</w:t>
      </w:r>
      <w:r w:rsidR="000B2AEB">
        <w:t xml:space="preserve"> Aktualny wykaz stanowisk obsługujących klientów i czas ich pracy znajduje się na stronie </w:t>
      </w:r>
      <w:hyperlink r:id="rId6" w:history="1">
        <w:r w:rsidR="000B2AEB" w:rsidRPr="000A6EC1">
          <w:rPr>
            <w:rStyle w:val="Hipercze"/>
          </w:rPr>
          <w:t>www.piotrkow.pl</w:t>
        </w:r>
      </w:hyperlink>
      <w:r w:rsidR="000B2AEB">
        <w:t xml:space="preserve"> </w:t>
      </w:r>
      <w:r w:rsidR="00646A74" w:rsidRPr="00F4248D">
        <w:br/>
      </w:r>
    </w:p>
    <w:p w14:paraId="5B226622" w14:textId="77777777" w:rsidR="00EE135E" w:rsidRPr="00F4248D" w:rsidRDefault="00EE135E" w:rsidP="00EE135E">
      <w:pPr>
        <w:ind w:firstLine="708"/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>W ramach działalności Urzędu Miasta funkcjonują w nim następujące komórki organizacyjne (których zadania określa Regulamin Organizacyjny Urzędu):</w:t>
      </w:r>
    </w:p>
    <w:p w14:paraId="52FC3777" w14:textId="1DB42873" w:rsidR="00DE2B62" w:rsidRPr="00EE135E" w:rsidRDefault="00EE135E" w:rsidP="00EE135E">
      <w:pPr>
        <w:rPr>
          <w:rFonts w:ascii="Arial" w:hAnsi="Arial"/>
          <w:iCs/>
          <w:sz w:val="24"/>
          <w:szCs w:val="24"/>
        </w:rPr>
      </w:pPr>
      <w:r w:rsidRPr="00F4248D">
        <w:rPr>
          <w:rFonts w:ascii="Arial" w:hAnsi="Arial"/>
          <w:iCs/>
          <w:sz w:val="24"/>
          <w:szCs w:val="24"/>
        </w:rPr>
        <w:t xml:space="preserve">Urząd Stanu Cywilnego, Biuro Prawne, Referat Zarządzania Kryzysowego i Obrony, Audytor Wewnętrzny, Biuro Kontroli, Pełnomocnik Prezydenta Miasta ds. Ochrony Informacji Niejawnych, Miejski Rzecznik Konsumentów, Biuro Prasowe, Referat Edukacji, Referat Kultury, Sportu i Promocji Miasta, Referat Zamówień Publicznych, Referat Spraw Społecznych, Referat Gospodarki Nieruchomościami, Biuro Inwestycji i Remontów, Referat Gospodarki Komunalnej i Ochrony Środowiska, Referat Gospodarowania Odpadami Komunalnymi, Referat Geodezji, </w:t>
      </w:r>
      <w:r>
        <w:rPr>
          <w:rFonts w:ascii="Arial" w:hAnsi="Arial"/>
          <w:iCs/>
          <w:sz w:val="24"/>
          <w:szCs w:val="24"/>
        </w:rPr>
        <w:t>Referat</w:t>
      </w:r>
      <w:r w:rsidRPr="00A83CEE">
        <w:rPr>
          <w:rFonts w:ascii="Arial" w:hAnsi="Arial"/>
          <w:iCs/>
          <w:sz w:val="24"/>
          <w:szCs w:val="24"/>
        </w:rPr>
        <w:t xml:space="preserve"> ewidencji gruntów i budynków</w:t>
      </w:r>
      <w:r w:rsidRPr="00F4248D">
        <w:rPr>
          <w:rFonts w:ascii="Arial" w:hAnsi="Arial"/>
          <w:iCs/>
          <w:sz w:val="24"/>
          <w:szCs w:val="24"/>
        </w:rPr>
        <w:t>, Referat Architektury i Budownictwa, Biuro Rady Miasta, Biuro Obsługi Mieszkańców, Biuro Zarządzania Zasobami Ludzkimi, Biuro Partnerstwa i Funduszy, Biuro Planowania Rozwoju Miasta, Referat Ewidencji Ludności, Referat Komunikacji, Referat Informatyki, Referat Administracji i Majątku, Referat Zarządzania Dokumentacją i Bezpieczeństwa Informacji, Centrum Informacji Turystycznej, Referat Budżetu i Analiz Finansowych, Referat Podatków i Opłat Lokalnych, Referat Księgowości, Referat Dochodów.</w:t>
      </w:r>
    </w:p>
    <w:p w14:paraId="07954C98" w14:textId="77777777" w:rsidR="0067727E" w:rsidRDefault="0067727E"/>
    <w:sectPr w:rsidR="0067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7CBF"/>
    <w:multiLevelType w:val="hybridMultilevel"/>
    <w:tmpl w:val="19F8BE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2138DA"/>
    <w:multiLevelType w:val="hybridMultilevel"/>
    <w:tmpl w:val="71FA0244"/>
    <w:lvl w:ilvl="0" w:tplc="4410A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62"/>
    <w:rsid w:val="000B2AEB"/>
    <w:rsid w:val="002947E0"/>
    <w:rsid w:val="00646A74"/>
    <w:rsid w:val="0067727E"/>
    <w:rsid w:val="00A06518"/>
    <w:rsid w:val="00A83CEE"/>
    <w:rsid w:val="00DE2B62"/>
    <w:rsid w:val="00EE135E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921F"/>
  <w15:chartTrackingRefBased/>
  <w15:docId w15:val="{639E297C-502B-4036-8110-99919F95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4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4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2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B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424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24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trkow.pl" TargetMode="External"/><Relationship Id="rId5" Type="http://schemas.openxmlformats.org/officeDocument/2006/relationships/hyperlink" Target="https://www.piotrkow.pl/content/files/dostepnosc-architektoniczna-b-159765945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Marcin</dc:creator>
  <cp:keywords/>
  <dc:description/>
  <cp:lastModifiedBy>Góra Marcin</cp:lastModifiedBy>
  <cp:revision>9</cp:revision>
  <dcterms:created xsi:type="dcterms:W3CDTF">2020-09-16T07:02:00Z</dcterms:created>
  <dcterms:modified xsi:type="dcterms:W3CDTF">2020-09-17T07:28:00Z</dcterms:modified>
</cp:coreProperties>
</file>